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1084" w14:textId="5D933116" w:rsidR="005E5953" w:rsidRDefault="00C10C00" w:rsidP="00691AB8">
      <w:pPr>
        <w:jc w:val="center"/>
        <w:rPr>
          <w:b/>
          <w:bCs w:val="0"/>
        </w:rPr>
      </w:pPr>
      <w:r>
        <w:rPr>
          <w:b/>
          <w:bCs w:val="0"/>
        </w:rPr>
        <w:t xml:space="preserve">A </w:t>
      </w:r>
      <w:r w:rsidR="00B71A44">
        <w:rPr>
          <w:b/>
          <w:bCs w:val="0"/>
        </w:rPr>
        <w:t xml:space="preserve">Quick Guide to </w:t>
      </w:r>
      <w:r w:rsidR="00691AB8" w:rsidRPr="00691AB8">
        <w:rPr>
          <w:b/>
          <w:bCs w:val="0"/>
        </w:rPr>
        <w:t>Using Canvas Outcomes for Assessment Purposes</w:t>
      </w:r>
    </w:p>
    <w:p w14:paraId="1C98851D" w14:textId="4EF966C1" w:rsidR="00691AB8" w:rsidRDefault="009C7F59" w:rsidP="00691AB8">
      <w:pPr>
        <w:pStyle w:val="ListParagraph"/>
        <w:numPr>
          <w:ilvl w:val="0"/>
          <w:numId w:val="1"/>
        </w:numPr>
      </w:pPr>
      <w:hyperlink r:id="rId10" w:history="1">
        <w:r w:rsidR="00691AB8" w:rsidRPr="00691AB8">
          <w:rPr>
            <w:rStyle w:val="Hyperlink"/>
          </w:rPr>
          <w:t xml:space="preserve">Create </w:t>
        </w:r>
        <w:r w:rsidR="000C647C">
          <w:rPr>
            <w:rStyle w:val="Hyperlink"/>
          </w:rPr>
          <w:t>O</w:t>
        </w:r>
        <w:r w:rsidR="00691AB8" w:rsidRPr="00691AB8">
          <w:rPr>
            <w:rStyle w:val="Hyperlink"/>
          </w:rPr>
          <w:t>utcomes for the course</w:t>
        </w:r>
      </w:hyperlink>
      <w:r w:rsidR="00691AB8">
        <w:t xml:space="preserve">. </w:t>
      </w:r>
      <w:r w:rsidR="00BD0C0A">
        <w:t xml:space="preserve">These can be course-level, program-level, and/or institution-wide outcomes. </w:t>
      </w:r>
      <w:r w:rsidR="006461C5">
        <w:t xml:space="preserve">See Appendix A for </w:t>
      </w:r>
      <w:r w:rsidR="00CA6246">
        <w:t xml:space="preserve">comments on settings. </w:t>
      </w:r>
    </w:p>
    <w:p w14:paraId="1E35D57A" w14:textId="3F967D04" w:rsidR="009A1ACA" w:rsidRDefault="009A1ACA" w:rsidP="009A1ACA">
      <w:pPr>
        <w:pStyle w:val="ListParagraph"/>
        <w:ind w:left="1440"/>
      </w:pPr>
    </w:p>
    <w:p w14:paraId="01C64CCA" w14:textId="50E7CDA8" w:rsidR="00691AB8" w:rsidRDefault="00691AB8" w:rsidP="00691AB8">
      <w:pPr>
        <w:pStyle w:val="ListParagraph"/>
        <w:numPr>
          <w:ilvl w:val="0"/>
          <w:numId w:val="1"/>
        </w:numPr>
      </w:pPr>
      <w:r>
        <w:t xml:space="preserve">Identify the </w:t>
      </w:r>
      <w:r w:rsidR="000C647C">
        <w:t>Q</w:t>
      </w:r>
      <w:r>
        <w:t xml:space="preserve">uizzes / </w:t>
      </w:r>
      <w:r w:rsidR="000C647C">
        <w:t>A</w:t>
      </w:r>
      <w:r>
        <w:t xml:space="preserve">ssignments you’d like to use to measure student performance on these </w:t>
      </w:r>
      <w:r w:rsidR="00AE2209">
        <w:t>O</w:t>
      </w:r>
      <w:r>
        <w:t xml:space="preserve">utcomes. Often, faculty choose a final project or final exam. </w:t>
      </w:r>
    </w:p>
    <w:p w14:paraId="1C67F04A" w14:textId="4900C447" w:rsidR="00E53202" w:rsidRDefault="00691AB8" w:rsidP="00E53202">
      <w:pPr>
        <w:pStyle w:val="ListParagraph"/>
        <w:numPr>
          <w:ilvl w:val="1"/>
          <w:numId w:val="1"/>
        </w:numPr>
      </w:pPr>
      <w:r>
        <w:t xml:space="preserve">If the </w:t>
      </w:r>
      <w:r w:rsidR="000C647C">
        <w:t>Q</w:t>
      </w:r>
      <w:r>
        <w:t xml:space="preserve">uiz is in Classic Quiz format, it must be </w:t>
      </w:r>
      <w:hyperlink r:id="rId11" w:history="1">
        <w:r w:rsidRPr="00691AB8">
          <w:rPr>
            <w:rStyle w:val="Hyperlink"/>
          </w:rPr>
          <w:t>migrated to New Quizzes</w:t>
        </w:r>
      </w:hyperlink>
      <w:r w:rsidR="001D2CBD">
        <w:t xml:space="preserve"> to avoid the time-consuming process necessary to assign Classic Quiz questions to </w:t>
      </w:r>
      <w:r w:rsidR="00C06AE7">
        <w:t>O</w:t>
      </w:r>
      <w:r w:rsidR="001D2CBD">
        <w:t xml:space="preserve">utcomes. </w:t>
      </w:r>
    </w:p>
    <w:p w14:paraId="42AF3052" w14:textId="64CCB5D1" w:rsidR="00691AB8" w:rsidRDefault="00691AB8" w:rsidP="00E53202">
      <w:pPr>
        <w:pStyle w:val="ListParagraph"/>
        <w:numPr>
          <w:ilvl w:val="2"/>
          <w:numId w:val="1"/>
        </w:numPr>
      </w:pPr>
      <w:r>
        <w:t xml:space="preserve">Double check questions on migrated quizzes to ensure they’ve transferred correctly. </w:t>
      </w:r>
    </w:p>
    <w:p w14:paraId="37741264" w14:textId="77777777" w:rsidR="008F02B7" w:rsidRDefault="008F02B7" w:rsidP="008F02B7">
      <w:pPr>
        <w:pStyle w:val="ListParagraph"/>
        <w:ind w:left="2160"/>
      </w:pPr>
    </w:p>
    <w:p w14:paraId="4663F637" w14:textId="155CAE56" w:rsidR="00691AB8" w:rsidRDefault="00691AB8" w:rsidP="00DF21ED">
      <w:pPr>
        <w:pStyle w:val="ListParagraph"/>
        <w:numPr>
          <w:ilvl w:val="0"/>
          <w:numId w:val="1"/>
        </w:numPr>
      </w:pPr>
      <w:r>
        <w:t>Align the assessment assignment</w:t>
      </w:r>
      <w:r w:rsidR="00DF21ED">
        <w:t>(s)</w:t>
      </w:r>
      <w:r>
        <w:t xml:space="preserve"> with the </w:t>
      </w:r>
      <w:r w:rsidR="000C647C">
        <w:t>O</w:t>
      </w:r>
      <w:r>
        <w:t xml:space="preserve">utcome(s). </w:t>
      </w:r>
    </w:p>
    <w:p w14:paraId="214BABD8" w14:textId="3EFD31B4" w:rsidR="00691AB8" w:rsidRDefault="00082546" w:rsidP="00691AB8">
      <w:pPr>
        <w:pStyle w:val="ListParagraph"/>
        <w:numPr>
          <w:ilvl w:val="1"/>
          <w:numId w:val="1"/>
        </w:numPr>
      </w:pPr>
      <w:r>
        <w:t xml:space="preserve">Quizzes: </w:t>
      </w:r>
      <w:r w:rsidR="00691AB8">
        <w:t xml:space="preserve">In the New Quiz format, </w:t>
      </w:r>
      <w:hyperlink r:id="rId12" w:history="1">
        <w:r w:rsidR="00691AB8" w:rsidRPr="00691AB8">
          <w:rPr>
            <w:rStyle w:val="Hyperlink"/>
          </w:rPr>
          <w:t xml:space="preserve">align each quiz question with an </w:t>
        </w:r>
        <w:r w:rsidR="00BE6CD0">
          <w:rPr>
            <w:rStyle w:val="Hyperlink"/>
          </w:rPr>
          <w:t>O</w:t>
        </w:r>
        <w:r w:rsidR="00691AB8" w:rsidRPr="00691AB8">
          <w:rPr>
            <w:rStyle w:val="Hyperlink"/>
          </w:rPr>
          <w:t>utcome</w:t>
        </w:r>
      </w:hyperlink>
      <w:r w:rsidR="00691AB8">
        <w:t xml:space="preserve">. </w:t>
      </w:r>
    </w:p>
    <w:p w14:paraId="3CD0C96F" w14:textId="7EE42CCE" w:rsidR="00082546" w:rsidRDefault="00082546" w:rsidP="00082546">
      <w:pPr>
        <w:pStyle w:val="ListParagraph"/>
        <w:numPr>
          <w:ilvl w:val="1"/>
          <w:numId w:val="1"/>
        </w:numPr>
      </w:pPr>
      <w:r>
        <w:t xml:space="preserve">Assignments: </w:t>
      </w:r>
      <w:hyperlink r:id="rId13" w:history="1">
        <w:r w:rsidRPr="00AE487F">
          <w:rPr>
            <w:rStyle w:val="Hyperlink"/>
          </w:rPr>
          <w:t>a</w:t>
        </w:r>
        <w:r w:rsidR="00F840F7" w:rsidRPr="00AE487F">
          <w:rPr>
            <w:rStyle w:val="Hyperlink"/>
          </w:rPr>
          <w:t xml:space="preserve">dd Outcomes </w:t>
        </w:r>
        <w:r w:rsidR="00876471" w:rsidRPr="00AE487F">
          <w:rPr>
            <w:rStyle w:val="Hyperlink"/>
          </w:rPr>
          <w:t>to Assignment rubrics</w:t>
        </w:r>
      </w:hyperlink>
      <w:r w:rsidR="00876471">
        <w:t xml:space="preserve">. </w:t>
      </w:r>
      <w:r w:rsidR="00A356A9">
        <w:t xml:space="preserve">See Appendix B for </w:t>
      </w:r>
      <w:proofErr w:type="gramStart"/>
      <w:r w:rsidR="00A356A9">
        <w:t>considerations</w:t>
      </w:r>
      <w:proofErr w:type="gramEnd"/>
      <w:r w:rsidR="00A356A9">
        <w:t xml:space="preserve">. </w:t>
      </w:r>
    </w:p>
    <w:p w14:paraId="4B016320" w14:textId="77777777" w:rsidR="00BE6CD0" w:rsidRDefault="00BE6CD0" w:rsidP="00BE6CD0">
      <w:pPr>
        <w:pStyle w:val="ListParagraph"/>
        <w:ind w:left="2160"/>
      </w:pPr>
    </w:p>
    <w:p w14:paraId="2FFA0688" w14:textId="2F1E66A6" w:rsidR="00E53202" w:rsidRDefault="009C7F59" w:rsidP="00E53202">
      <w:pPr>
        <w:pStyle w:val="ListParagraph"/>
        <w:numPr>
          <w:ilvl w:val="0"/>
          <w:numId w:val="1"/>
        </w:numPr>
      </w:pPr>
      <w:hyperlink r:id="rId14" w:history="1">
        <w:r w:rsidR="00E53202" w:rsidRPr="00E53202">
          <w:rPr>
            <w:rStyle w:val="Hyperlink"/>
          </w:rPr>
          <w:t>View outcome results via the Gradebook</w:t>
        </w:r>
      </w:hyperlink>
      <w:r w:rsidR="00AB4B65">
        <w:t xml:space="preserve"> (Gradebook &gt; Learning Mastery)</w:t>
      </w:r>
      <w:r w:rsidR="003A60FC">
        <w:t xml:space="preserve">. See Appendix </w:t>
      </w:r>
      <w:r w:rsidR="00A356A9">
        <w:t>C</w:t>
      </w:r>
      <w:r w:rsidR="003A60FC">
        <w:t xml:space="preserve"> for more details</w:t>
      </w:r>
      <w:r w:rsidR="0082042B">
        <w:t xml:space="preserve"> on reading Gradebook reports.</w:t>
      </w:r>
    </w:p>
    <w:p w14:paraId="1B0C43E6" w14:textId="475BC885" w:rsidR="00C10C00" w:rsidRDefault="00C10C00" w:rsidP="00C10C00">
      <w:pPr>
        <w:pStyle w:val="ListParagraph"/>
      </w:pPr>
      <w:r>
        <w:rPr>
          <w:noProof/>
        </w:rPr>
        <w:drawing>
          <wp:inline distT="0" distB="0" distL="0" distR="0" wp14:anchorId="27287374" wp14:editId="24ECA9EC">
            <wp:extent cx="5899453" cy="1968601"/>
            <wp:effectExtent l="0" t="0" r="635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453" cy="196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F4E7C" w14:textId="77777777" w:rsidR="003859C5" w:rsidRDefault="003859C5" w:rsidP="00DF21ED"/>
    <w:p w14:paraId="2DE286A9" w14:textId="77777777" w:rsidR="00DF21ED" w:rsidRDefault="00DF21ED" w:rsidP="00DF21ED"/>
    <w:p w14:paraId="14A82F29" w14:textId="75C75D66" w:rsidR="00A61AF1" w:rsidRDefault="006A43FD" w:rsidP="00A61AF1">
      <w:pPr>
        <w:rPr>
          <w:b/>
          <w:bCs w:val="0"/>
        </w:rPr>
      </w:pPr>
      <w:r>
        <w:rPr>
          <w:b/>
          <w:bCs w:val="0"/>
        </w:rPr>
        <w:t xml:space="preserve">Suggestions </w:t>
      </w:r>
      <w:r w:rsidR="00D12CA8">
        <w:rPr>
          <w:b/>
          <w:bCs w:val="0"/>
        </w:rPr>
        <w:t>for Streamlining</w:t>
      </w:r>
    </w:p>
    <w:p w14:paraId="05B24FD2" w14:textId="6E7A03DC" w:rsidR="00C247AA" w:rsidRDefault="00D12CA8" w:rsidP="00C247AA">
      <w:pPr>
        <w:pStyle w:val="ListParagraph"/>
        <w:numPr>
          <w:ilvl w:val="0"/>
          <w:numId w:val="2"/>
        </w:numPr>
      </w:pPr>
      <w:r w:rsidRPr="00D12CA8">
        <w:t>C</w:t>
      </w:r>
      <w:r w:rsidR="006A43FD" w:rsidRPr="00D12CA8">
        <w:t>o</w:t>
      </w:r>
      <w:r w:rsidR="006A43FD">
        <w:t xml:space="preserve">nsider using only the final assignment / exam to measure student success on </w:t>
      </w:r>
      <w:r w:rsidR="00371922">
        <w:t>Outcomes</w:t>
      </w:r>
      <w:r w:rsidR="005A71DF">
        <w:t xml:space="preserve">. </w:t>
      </w:r>
    </w:p>
    <w:p w14:paraId="32DF999E" w14:textId="627F5026" w:rsidR="00E66A0A" w:rsidRDefault="00E66A0A" w:rsidP="00C247AA">
      <w:pPr>
        <w:pStyle w:val="ListParagraph"/>
        <w:numPr>
          <w:ilvl w:val="0"/>
          <w:numId w:val="2"/>
        </w:numPr>
      </w:pPr>
      <w:r>
        <w:t xml:space="preserve">Department Chairs can set Outcomes </w:t>
      </w:r>
      <w:r w:rsidR="0072436A">
        <w:t xml:space="preserve">for all courses in their sub-accounts, such as </w:t>
      </w:r>
      <w:r w:rsidR="007B64DB">
        <w:t xml:space="preserve">PSLOs or </w:t>
      </w:r>
      <w:r w:rsidR="00D6419F">
        <w:t>ISLOs.</w:t>
      </w:r>
    </w:p>
    <w:p w14:paraId="4F8C23C5" w14:textId="4B8D6ED8" w:rsidR="00CA6246" w:rsidRDefault="003859C5" w:rsidP="00F21524">
      <w:pPr>
        <w:pStyle w:val="ListParagraph"/>
        <w:numPr>
          <w:ilvl w:val="0"/>
          <w:numId w:val="2"/>
        </w:numPr>
      </w:pPr>
      <w:r>
        <w:t xml:space="preserve">Department Chairs can pull </w:t>
      </w:r>
      <w:r w:rsidR="00D32F6E">
        <w:t>Outcomes r</w:t>
      </w:r>
      <w:r>
        <w:t xml:space="preserve">eports </w:t>
      </w:r>
      <w:r w:rsidR="00F93682">
        <w:t xml:space="preserve">for all courses in their sub-accounts. </w:t>
      </w:r>
      <w:r w:rsidR="003E1B00">
        <w:t>The Reports arrive in an Excel spreadsheet</w:t>
      </w:r>
      <w:r w:rsidR="00D6419F">
        <w:t>,</w:t>
      </w:r>
      <w:r w:rsidR="00ED0F03">
        <w:t xml:space="preserve"> and the data can be sli</w:t>
      </w:r>
      <w:r w:rsidR="009B14C8">
        <w:t xml:space="preserve">ced to </w:t>
      </w:r>
      <w:r w:rsidR="00F21524">
        <w:t xml:space="preserve">reveal just one Program’s outcome results, for example. </w:t>
      </w:r>
      <w:r w:rsidR="00CA6246">
        <w:br w:type="page"/>
      </w:r>
    </w:p>
    <w:p w14:paraId="4F6F53F9" w14:textId="41F0535B" w:rsidR="00CA6246" w:rsidRDefault="00CA6246" w:rsidP="00CA6246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Quick Guide to </w:t>
      </w:r>
      <w:r w:rsidRPr="00691AB8">
        <w:rPr>
          <w:b/>
          <w:bCs w:val="0"/>
        </w:rPr>
        <w:t>Using Canvas Outcomes for Assessment Purposes</w:t>
      </w:r>
      <w:r>
        <w:rPr>
          <w:b/>
          <w:bCs w:val="0"/>
        </w:rPr>
        <w:br/>
        <w:t>Appendix A: Outcome Settings</w:t>
      </w:r>
      <w:r w:rsidR="00413657">
        <w:rPr>
          <w:b/>
          <w:bCs w:val="0"/>
        </w:rPr>
        <w:t xml:space="preserve"> (see screenshot, next page)</w:t>
      </w:r>
    </w:p>
    <w:p w14:paraId="5D50A5AD" w14:textId="01DA9A0F" w:rsidR="00CA6246" w:rsidRDefault="00760F4B" w:rsidP="00CA6246">
      <w:r>
        <w:t xml:space="preserve">[1] The “Friendly Name” is the name students will see. </w:t>
      </w:r>
      <w:r w:rsidR="005F42A5">
        <w:t xml:space="preserve">For example, </w:t>
      </w:r>
      <w:r w:rsidR="00EA78A9">
        <w:t xml:space="preserve">a </w:t>
      </w:r>
      <w:r w:rsidR="0043584B">
        <w:t>one might refer</w:t>
      </w:r>
      <w:r w:rsidR="00B600AA">
        <w:t xml:space="preserve"> to numbered outcome 1.1 as </w:t>
      </w:r>
      <w:r w:rsidR="001F3BD1">
        <w:t>“Customer Service</w:t>
      </w:r>
      <w:r w:rsidR="00D40576">
        <w:t>.”</w:t>
      </w:r>
    </w:p>
    <w:p w14:paraId="30342F14" w14:textId="355DBE14" w:rsidR="001F3BD1" w:rsidRDefault="001F3BD1" w:rsidP="00CA6246">
      <w:r>
        <w:t xml:space="preserve">[2] Proficiency Ratings </w:t>
      </w:r>
      <w:r w:rsidR="00AB1A50">
        <w:t xml:space="preserve">are often </w:t>
      </w:r>
      <w:r w:rsidR="00605C2F">
        <w:t xml:space="preserve">set out of 100 </w:t>
      </w:r>
      <w:r w:rsidR="00952B1C">
        <w:t xml:space="preserve">(for simplicity’s sake) or out of </w:t>
      </w:r>
      <w:r w:rsidR="007A5A80">
        <w:t>4</w:t>
      </w:r>
      <w:r w:rsidR="00952B1C">
        <w:t xml:space="preserve"> points (</w:t>
      </w:r>
      <w:r w:rsidR="00933F2C">
        <w:t xml:space="preserve">for consistency </w:t>
      </w:r>
      <w:r w:rsidR="00952B1C">
        <w:t xml:space="preserve">when </w:t>
      </w:r>
      <w:r w:rsidR="00BC6949">
        <w:t xml:space="preserve">intended for a rubric </w:t>
      </w:r>
      <w:r w:rsidR="00933F2C">
        <w:t xml:space="preserve">with other </w:t>
      </w:r>
      <w:r w:rsidR="00FB0641">
        <w:t>3- to 5</w:t>
      </w:r>
      <w:r w:rsidR="00933F2C">
        <w:t>-point categories)</w:t>
      </w:r>
      <w:r w:rsidR="00482569">
        <w:t xml:space="preserve">. </w:t>
      </w:r>
      <w:r w:rsidR="00F94738">
        <w:t xml:space="preserve">A ratings scale of </w:t>
      </w:r>
      <w:r w:rsidR="00D81F5F">
        <w:t>100/</w:t>
      </w:r>
      <w:r w:rsidR="00797012">
        <w:t>75/50/25/0</w:t>
      </w:r>
      <w:r w:rsidR="00E4537E">
        <w:t xml:space="preserve"> is the same as a scale of 4/3/2/1/0.</w:t>
      </w:r>
      <w:r w:rsidR="008C42A7">
        <w:t xml:space="preserve"> </w:t>
      </w:r>
    </w:p>
    <w:p w14:paraId="080DE67D" w14:textId="4FD69887" w:rsidR="00D81F5F" w:rsidRDefault="00D81F5F" w:rsidP="00CA6246">
      <w:r>
        <w:t>[3]</w:t>
      </w:r>
      <w:r w:rsidR="000074DA">
        <w:t xml:space="preserve"> Mastery </w:t>
      </w:r>
      <w:r w:rsidR="00D97EFB">
        <w:t>and Proficiency Ratings are reported separately</w:t>
      </w:r>
      <w:r w:rsidR="008C182D">
        <w:t xml:space="preserve">, so they can be used to gain additional data. Provided that the ratio between Mastery and Proficiency Ratings </w:t>
      </w:r>
      <w:r w:rsidR="004A755C">
        <w:t xml:space="preserve">remains the same, the specific point scale is immaterial. </w:t>
      </w:r>
      <w:r w:rsidR="001244D9">
        <w:t xml:space="preserve">For example, </w:t>
      </w:r>
      <w:r w:rsidR="00802FF2">
        <w:t xml:space="preserve">let’s say that a program </w:t>
      </w:r>
      <w:r w:rsidR="000B6F02">
        <w:t xml:space="preserve">sees 82% as </w:t>
      </w:r>
      <w:r w:rsidR="000E263B">
        <w:t>a benchmark it would like to measure. Setting the Mastery points at 82 for a 10</w:t>
      </w:r>
      <w:r w:rsidR="00FB0641">
        <w:t>0</w:t>
      </w:r>
      <w:r w:rsidR="00B939AA">
        <w:t>-</w:t>
      </w:r>
      <w:r w:rsidR="00FB0641">
        <w:t>p</w:t>
      </w:r>
      <w:r w:rsidR="000E263B">
        <w:t xml:space="preserve">oint Proficiency Rating scale is the same as </w:t>
      </w:r>
      <w:r w:rsidR="00B939AA">
        <w:t>setting Mastery points at 3.</w:t>
      </w:r>
      <w:r w:rsidR="009D1F86">
        <w:t>28</w:t>
      </w:r>
      <w:r w:rsidR="00B939AA">
        <w:t xml:space="preserve"> for a 4-point scale. </w:t>
      </w:r>
    </w:p>
    <w:p w14:paraId="3DC4F265" w14:textId="669DD7BA" w:rsidR="00B939AA" w:rsidRDefault="00B939AA" w:rsidP="00CA6246">
      <w:r>
        <w:t>[</w:t>
      </w:r>
      <w:r w:rsidR="00F92728">
        <w:t xml:space="preserve">4] The Calculation Method can be set as a decaying average (scores </w:t>
      </w:r>
      <w:r w:rsidR="007455A0">
        <w:t xml:space="preserve">for more recent assignments are weighted more heavily), most recent, or average. </w:t>
      </w:r>
      <w:r w:rsidR="00C428FE">
        <w:t xml:space="preserve">If only one assignment is used to </w:t>
      </w:r>
      <w:r w:rsidR="00EB10D7">
        <w:t xml:space="preserve">assess student performance on </w:t>
      </w:r>
      <w:r w:rsidR="009D1F86">
        <w:t>O</w:t>
      </w:r>
      <w:r w:rsidR="00EB10D7">
        <w:t xml:space="preserve">utcomes, the Calculation Method </w:t>
      </w:r>
      <w:r w:rsidR="00BC1690">
        <w:t xml:space="preserve">is immaterial. </w:t>
      </w:r>
    </w:p>
    <w:p w14:paraId="55BD40F1" w14:textId="3D1D95A9" w:rsidR="00581798" w:rsidRDefault="00581798" w:rsidP="00CA6246">
      <w:pPr>
        <w:rPr>
          <w:b/>
          <w:bCs w:val="0"/>
        </w:rPr>
      </w:pPr>
      <w:r>
        <w:rPr>
          <w:b/>
          <w:bCs w:val="0"/>
        </w:rPr>
        <w:t>Numerical Settings</w:t>
      </w:r>
    </w:p>
    <w:p w14:paraId="1F78B582" w14:textId="5069E172" w:rsidR="00581798" w:rsidRDefault="00581798" w:rsidP="00CA6246">
      <w:r>
        <w:t xml:space="preserve">There is no one right set of numbers to assign to </w:t>
      </w:r>
      <w:r w:rsidR="00AE453C">
        <w:t xml:space="preserve">Outcome Proficiency Ratings or Mastery points. </w:t>
      </w:r>
      <w:r w:rsidR="00D60BBE">
        <w:t xml:space="preserve">These numbers will depend entirely on </w:t>
      </w:r>
      <w:proofErr w:type="gramStart"/>
      <w:r w:rsidR="00D60BBE">
        <w:t>what, exactly,</w:t>
      </w:r>
      <w:proofErr w:type="gramEnd"/>
      <w:r w:rsidR="00D60BBE">
        <w:t xml:space="preserve"> you want to measure. Here are some basic guidelines to set numbers to get the data you want:</w:t>
      </w:r>
    </w:p>
    <w:p w14:paraId="09589237" w14:textId="4263E932" w:rsidR="00D60BBE" w:rsidRDefault="00A12B43" w:rsidP="00D60BBE">
      <w:pPr>
        <w:pStyle w:val="ListParagraph"/>
        <w:numPr>
          <w:ilvl w:val="0"/>
          <w:numId w:val="3"/>
        </w:numPr>
      </w:pPr>
      <w:r>
        <w:t xml:space="preserve">Proficiency Ratings provide the opportunity for gathering </w:t>
      </w:r>
      <w:r w:rsidR="00700473">
        <w:t>more detailed data than the set Mastery point. Multiple criteria</w:t>
      </w:r>
      <w:r w:rsidR="00C55097">
        <w:t xml:space="preserve"> can</w:t>
      </w:r>
      <w:r w:rsidR="00700473">
        <w:t xml:space="preserve"> allow you to see </w:t>
      </w:r>
      <w:r w:rsidR="00C55097">
        <w:t xml:space="preserve">how many students are close to proficient </w:t>
      </w:r>
      <w:r w:rsidR="00C610B0">
        <w:t xml:space="preserve">(and thus may benefit from small interventions) </w:t>
      </w:r>
      <w:r w:rsidR="00C55097">
        <w:t xml:space="preserve">as opposed to </w:t>
      </w:r>
      <w:proofErr w:type="gramStart"/>
      <w:r w:rsidR="00322B4C">
        <w:t xml:space="preserve">absolutely </w:t>
      </w:r>
      <w:r w:rsidR="00C610B0">
        <w:t>terrible</w:t>
      </w:r>
      <w:proofErr w:type="gramEnd"/>
      <w:r w:rsidR="00C610B0">
        <w:t xml:space="preserve">. </w:t>
      </w:r>
    </w:p>
    <w:p w14:paraId="10AF82BA" w14:textId="2770E844" w:rsidR="00C73B2C" w:rsidRDefault="00BA2019" w:rsidP="000F77DE">
      <w:pPr>
        <w:pStyle w:val="ListParagraph"/>
        <w:numPr>
          <w:ilvl w:val="0"/>
          <w:numId w:val="3"/>
        </w:numPr>
      </w:pPr>
      <w:r>
        <w:t xml:space="preserve">That said, </w:t>
      </w:r>
      <w:r w:rsidR="00C73B2C">
        <w:t>if all you want is a simple count of how many students reach mastery, no need to create multiple Proficiency Rating criteria.</w:t>
      </w:r>
    </w:p>
    <w:p w14:paraId="316ADBDD" w14:textId="25DB3E70" w:rsidR="00C610B0" w:rsidRDefault="00D324A1" w:rsidP="00D60BBE">
      <w:pPr>
        <w:pStyle w:val="ListParagraph"/>
        <w:numPr>
          <w:ilvl w:val="0"/>
          <w:numId w:val="3"/>
        </w:numPr>
      </w:pPr>
      <w:r>
        <w:t xml:space="preserve">Mastery should not be set at the same number as the highest Proficiency Rating unless </w:t>
      </w:r>
      <w:r w:rsidR="00DC377B">
        <w:t xml:space="preserve">100% perfection is required for Mastery. </w:t>
      </w:r>
    </w:p>
    <w:p w14:paraId="580EC82A" w14:textId="1D6DD2DA" w:rsidR="005929EA" w:rsidRPr="00581798" w:rsidRDefault="005929EA" w:rsidP="00D60BBE">
      <w:pPr>
        <w:pStyle w:val="ListParagraph"/>
        <w:numPr>
          <w:ilvl w:val="0"/>
          <w:numId w:val="3"/>
        </w:numPr>
      </w:pPr>
      <w:r>
        <w:t xml:space="preserve">If Outcomes will be used on rubrics (whether calculated into the rubric score or not), consider setting point values </w:t>
      </w:r>
      <w:r w:rsidR="00EA4EF4">
        <w:t xml:space="preserve">at what would be appropriate for the rubric. </w:t>
      </w:r>
    </w:p>
    <w:p w14:paraId="25B7926F" w14:textId="669E509E" w:rsidR="001F3BD1" w:rsidRDefault="001F3BD1" w:rsidP="00CA6246">
      <w:r>
        <w:rPr>
          <w:noProof/>
        </w:rPr>
        <w:lastRenderedPageBreak/>
        <w:drawing>
          <wp:inline distT="0" distB="0" distL="0" distR="0" wp14:anchorId="6287B2A9" wp14:editId="1E30BA05">
            <wp:extent cx="5085080" cy="8229600"/>
            <wp:effectExtent l="0" t="0" r="1270" b="0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0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A8497" w14:textId="0B74999A" w:rsidR="00A3109D" w:rsidRDefault="00A3109D" w:rsidP="00A3109D">
      <w:pPr>
        <w:jc w:val="center"/>
        <w:rPr>
          <w:b/>
          <w:bCs w:val="0"/>
        </w:rPr>
      </w:pPr>
      <w:r>
        <w:rPr>
          <w:b/>
          <w:bCs w:val="0"/>
        </w:rPr>
        <w:br w:type="page"/>
      </w:r>
      <w:r>
        <w:rPr>
          <w:b/>
          <w:bCs w:val="0"/>
        </w:rPr>
        <w:lastRenderedPageBreak/>
        <w:t xml:space="preserve">Quick Guide to </w:t>
      </w:r>
      <w:r w:rsidRPr="00691AB8">
        <w:rPr>
          <w:b/>
          <w:bCs w:val="0"/>
        </w:rPr>
        <w:t>Using Canvas Outcomes for Assessment Purposes</w:t>
      </w:r>
      <w:r w:rsidRPr="006A07A0">
        <w:rPr>
          <w:b/>
          <w:bCs w:val="0"/>
        </w:rPr>
        <w:t xml:space="preserve"> </w:t>
      </w:r>
      <w:r>
        <w:rPr>
          <w:b/>
          <w:bCs w:val="0"/>
        </w:rPr>
        <w:br/>
      </w:r>
      <w:r w:rsidRPr="006A07A0">
        <w:rPr>
          <w:b/>
          <w:bCs w:val="0"/>
        </w:rPr>
        <w:t xml:space="preserve">Appendix </w:t>
      </w:r>
      <w:r>
        <w:rPr>
          <w:b/>
          <w:bCs w:val="0"/>
        </w:rPr>
        <w:t>B</w:t>
      </w:r>
      <w:r w:rsidRPr="006A07A0">
        <w:rPr>
          <w:b/>
          <w:bCs w:val="0"/>
        </w:rPr>
        <w:t xml:space="preserve">: </w:t>
      </w:r>
      <w:r>
        <w:rPr>
          <w:b/>
          <w:bCs w:val="0"/>
        </w:rPr>
        <w:t>Adding Outcomes to Rubrics</w:t>
      </w:r>
    </w:p>
    <w:p w14:paraId="022A2145" w14:textId="760B4DE9" w:rsidR="00A3109D" w:rsidRDefault="00B77727" w:rsidP="00A3109D">
      <w:r>
        <w:t xml:space="preserve">There are a few things to consider when </w:t>
      </w:r>
      <w:r w:rsidR="00AC3710">
        <w:t xml:space="preserve">adding Outcomes to </w:t>
      </w:r>
      <w:r w:rsidR="006671F4">
        <w:t>r</w:t>
      </w:r>
      <w:r w:rsidR="00AC3710">
        <w:t xml:space="preserve">ubrics (which, in turn, are attached to Assignments, Quizzes, or Graded Discussions). </w:t>
      </w:r>
    </w:p>
    <w:p w14:paraId="1653D9B7" w14:textId="26DEA5E3" w:rsidR="00AC3710" w:rsidRDefault="006671F4" w:rsidP="00AC3710">
      <w:pPr>
        <w:pStyle w:val="ListParagraph"/>
        <w:numPr>
          <w:ilvl w:val="0"/>
          <w:numId w:val="4"/>
        </w:numPr>
      </w:pPr>
      <w:r>
        <w:t xml:space="preserve">Students will see the Outcome(s) on the rubric. </w:t>
      </w:r>
      <w:r w:rsidR="0007359B">
        <w:t>Thus:</w:t>
      </w:r>
    </w:p>
    <w:p w14:paraId="5B3171F2" w14:textId="2AE53CD9" w:rsidR="00616B84" w:rsidRDefault="0007359B" w:rsidP="006671F4">
      <w:pPr>
        <w:pStyle w:val="ListParagraph"/>
        <w:numPr>
          <w:ilvl w:val="1"/>
          <w:numId w:val="4"/>
        </w:numPr>
      </w:pPr>
      <w:r>
        <w:t>I</w:t>
      </w:r>
      <w:r w:rsidR="00DD13D6">
        <w:t xml:space="preserve">t may be clearer to students if the Proficiency Ratings are </w:t>
      </w:r>
      <w:proofErr w:type="gramStart"/>
      <w:r w:rsidR="00DD13D6">
        <w:t>similar to</w:t>
      </w:r>
      <w:proofErr w:type="gramEnd"/>
      <w:r w:rsidR="00DD13D6">
        <w:t xml:space="preserve"> other rubric items. </w:t>
      </w:r>
      <w:r w:rsidR="000139CE">
        <w:t xml:space="preserve">If the rubric item “thesis” has 3 available points, it may be confusing to have an Outcome listed with 100 points. </w:t>
      </w:r>
    </w:p>
    <w:p w14:paraId="793217D6" w14:textId="47D3AC1D" w:rsidR="00AA24EF" w:rsidRDefault="00616B84" w:rsidP="00616B84">
      <w:pPr>
        <w:pStyle w:val="ListParagraph"/>
        <w:numPr>
          <w:ilvl w:val="0"/>
          <w:numId w:val="4"/>
        </w:numPr>
      </w:pPr>
      <w:r>
        <w:t xml:space="preserve">Outcomes do not have </w:t>
      </w:r>
      <w:r w:rsidR="00AA24EF">
        <w:t xml:space="preserve">to be calculated as part of the rubric score. </w:t>
      </w:r>
      <w:r w:rsidR="0007359B">
        <w:t xml:space="preserve">Thus: </w:t>
      </w:r>
    </w:p>
    <w:p w14:paraId="764A28E6" w14:textId="1F9EC403" w:rsidR="00F35B82" w:rsidRDefault="0007359B" w:rsidP="00AA24EF">
      <w:pPr>
        <w:pStyle w:val="ListParagraph"/>
        <w:numPr>
          <w:ilvl w:val="1"/>
          <w:numId w:val="4"/>
        </w:numPr>
      </w:pPr>
      <w:r>
        <w:t>I</w:t>
      </w:r>
      <w:r w:rsidR="00F35B82">
        <w:t xml:space="preserve">t may be useful to inform students when (and why) there are items on the rubric that are not part of the final rubric score. </w:t>
      </w:r>
    </w:p>
    <w:p w14:paraId="16A524FB" w14:textId="60467643" w:rsidR="009117EA" w:rsidRDefault="00F35B82" w:rsidP="009117EA">
      <w:pPr>
        <w:pStyle w:val="ListParagraph"/>
        <w:numPr>
          <w:ilvl w:val="0"/>
          <w:numId w:val="4"/>
        </w:numPr>
      </w:pPr>
      <w:r>
        <w:t xml:space="preserve">Outcomes do not offer the same level of detail as other rubric items. </w:t>
      </w:r>
      <w:r w:rsidR="00E0312A">
        <w:t>Rubric criteria</w:t>
      </w:r>
      <w:r w:rsidR="00DC0C63">
        <w:t xml:space="preserve"> can include </w:t>
      </w:r>
      <w:r w:rsidR="009117EA">
        <w:t>additional specifics to help students understand why they earned the scores they did</w:t>
      </w:r>
      <w:r w:rsidR="00E0312A">
        <w:t xml:space="preserve">. </w:t>
      </w:r>
      <w:r w:rsidR="009117EA">
        <w:t xml:space="preserve">However, </w:t>
      </w:r>
      <w:r w:rsidR="001E07B2">
        <w:t xml:space="preserve">Outcomes added to rubrics only </w:t>
      </w:r>
      <w:r w:rsidR="00740466">
        <w:t>include</w:t>
      </w:r>
      <w:r w:rsidR="001E07B2">
        <w:t xml:space="preserve"> the </w:t>
      </w:r>
      <w:r w:rsidR="002E792D">
        <w:t xml:space="preserve">Proficiency Rating </w:t>
      </w:r>
      <w:r w:rsidR="00740466">
        <w:t>categories</w:t>
      </w:r>
      <w:r w:rsidR="005E278A">
        <w:t xml:space="preserve"> (see below). </w:t>
      </w:r>
    </w:p>
    <w:p w14:paraId="4C44EC35" w14:textId="09C4A56D" w:rsidR="002E792D" w:rsidRDefault="00F87E5D" w:rsidP="009117EA">
      <w:pPr>
        <w:pStyle w:val="ListParagraph"/>
      </w:pPr>
      <w:r>
        <w:rPr>
          <w:noProof/>
        </w:rPr>
        <w:drawing>
          <wp:inline distT="0" distB="0" distL="0" distR="0" wp14:anchorId="580AEF95" wp14:editId="79C83E79">
            <wp:extent cx="5943600" cy="2212975"/>
            <wp:effectExtent l="0" t="0" r="0" b="0"/>
            <wp:docPr id="12" name="Picture 12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Word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FAEAA" w14:textId="61AE9047" w:rsidR="00F87E5D" w:rsidRDefault="00F87E5D" w:rsidP="009117EA">
      <w:pPr>
        <w:pStyle w:val="ListParagraph"/>
      </w:pPr>
      <w:r>
        <w:t>In the rubric above,</w:t>
      </w:r>
      <w:r w:rsidR="00630B78">
        <w:t xml:space="preserve"> the criteri</w:t>
      </w:r>
      <w:r w:rsidR="00740466">
        <w:t>on</w:t>
      </w:r>
      <w:r w:rsidR="00B52074">
        <w:t xml:space="preserve"> that is an Outcome is denoted by the bulls-eye symbol next to the criterion name (“Discussion Posts”). Additionally, </w:t>
      </w:r>
      <w:proofErr w:type="gramStart"/>
      <w:r w:rsidR="00B52074">
        <w:t xml:space="preserve">this </w:t>
      </w:r>
      <w:r w:rsidR="00C5434A">
        <w:t xml:space="preserve"> Outcome</w:t>
      </w:r>
      <w:proofErr w:type="gramEnd"/>
      <w:r w:rsidR="00C5434A">
        <w:t xml:space="preserve"> is not </w:t>
      </w:r>
      <w:r w:rsidR="00B52074">
        <w:t>included in</w:t>
      </w:r>
      <w:r w:rsidR="00C5434A">
        <w:t xml:space="preserve"> the rubric </w:t>
      </w:r>
      <w:r w:rsidR="00B52074">
        <w:t>score</w:t>
      </w:r>
      <w:r w:rsidR="00C5434A">
        <w:t xml:space="preserve">. For this </w:t>
      </w:r>
      <w:r w:rsidR="00645EA9">
        <w:t>O</w:t>
      </w:r>
      <w:r w:rsidR="00C5434A">
        <w:t>utcome, Mastery is set at 3.5</w:t>
      </w:r>
      <w:r w:rsidR="00B52074">
        <w:t xml:space="preserve"> out of 4</w:t>
      </w:r>
      <w:r w:rsidR="00C5434A">
        <w:t xml:space="preserve"> points. </w:t>
      </w:r>
    </w:p>
    <w:p w14:paraId="5A65CB69" w14:textId="1298C3D0" w:rsidR="006671F4" w:rsidRPr="00B77727" w:rsidRDefault="00DD13D6" w:rsidP="009117EA">
      <w:pPr>
        <w:ind w:left="360"/>
      </w:pPr>
      <w:r>
        <w:t xml:space="preserve"> </w:t>
      </w:r>
    </w:p>
    <w:p w14:paraId="3468AED8" w14:textId="7819CC46" w:rsidR="00A3109D" w:rsidRDefault="00A3109D">
      <w:pPr>
        <w:rPr>
          <w:b/>
          <w:bCs w:val="0"/>
        </w:rPr>
      </w:pPr>
      <w:r>
        <w:rPr>
          <w:b/>
          <w:bCs w:val="0"/>
        </w:rPr>
        <w:br w:type="page"/>
      </w:r>
    </w:p>
    <w:p w14:paraId="7CDFAFE1" w14:textId="706E6A86" w:rsidR="0050254A" w:rsidRDefault="006A07A0" w:rsidP="006A07A0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Quick Guide to </w:t>
      </w:r>
      <w:r w:rsidRPr="00691AB8">
        <w:rPr>
          <w:b/>
          <w:bCs w:val="0"/>
        </w:rPr>
        <w:t>Using Canvas Outcomes for Assessment Purposes</w:t>
      </w:r>
      <w:r w:rsidRPr="006A07A0">
        <w:rPr>
          <w:b/>
          <w:bCs w:val="0"/>
        </w:rPr>
        <w:t xml:space="preserve"> </w:t>
      </w:r>
      <w:r>
        <w:rPr>
          <w:b/>
          <w:bCs w:val="0"/>
        </w:rPr>
        <w:br/>
      </w:r>
      <w:r w:rsidRPr="006A07A0">
        <w:rPr>
          <w:b/>
          <w:bCs w:val="0"/>
        </w:rPr>
        <w:t xml:space="preserve">Appendix </w:t>
      </w:r>
      <w:r w:rsidR="00A3109D">
        <w:rPr>
          <w:b/>
          <w:bCs w:val="0"/>
        </w:rPr>
        <w:t>C</w:t>
      </w:r>
      <w:r w:rsidRPr="006A07A0">
        <w:rPr>
          <w:b/>
          <w:bCs w:val="0"/>
        </w:rPr>
        <w:t>: Interpreting</w:t>
      </w:r>
      <w:r w:rsidR="003A60FC">
        <w:rPr>
          <w:b/>
          <w:bCs w:val="0"/>
        </w:rPr>
        <w:t xml:space="preserve"> </w:t>
      </w:r>
      <w:r w:rsidRPr="006A07A0">
        <w:rPr>
          <w:b/>
          <w:bCs w:val="0"/>
        </w:rPr>
        <w:t>Results</w:t>
      </w:r>
    </w:p>
    <w:p w14:paraId="251F4EB5" w14:textId="3C79D1DA" w:rsidR="000D6E3F" w:rsidRDefault="005F2A4E" w:rsidP="006A07A0">
      <w:r>
        <w:t xml:space="preserve">The </w:t>
      </w:r>
      <w:r w:rsidR="009E2265">
        <w:t xml:space="preserve">Outcomes results in the Canvas Gradebook will depend upon the </w:t>
      </w:r>
      <w:r w:rsidR="002E56E2">
        <w:t xml:space="preserve">values </w:t>
      </w:r>
      <w:r w:rsidR="000211AF">
        <w:t xml:space="preserve">assigned </w:t>
      </w:r>
      <w:r w:rsidR="002E56E2">
        <w:t xml:space="preserve">to the Outcome’s Proficiency Rating, Mastery </w:t>
      </w:r>
      <w:r w:rsidR="000418A6">
        <w:t xml:space="preserve">points, </w:t>
      </w:r>
      <w:r w:rsidR="006F2383">
        <w:t xml:space="preserve">and Calculation Method. </w:t>
      </w:r>
      <w:r w:rsidR="005641F4">
        <w:t xml:space="preserve">The goal is to set those values such that the Gradebook reports provide the data you want. </w:t>
      </w:r>
    </w:p>
    <w:p w14:paraId="3D26809A" w14:textId="67D29DBC" w:rsidR="00EA4EF4" w:rsidRDefault="0005319C" w:rsidP="006A07A0">
      <w:r>
        <w:t xml:space="preserve">Let’s say we have the following settings for Outcome 1: </w:t>
      </w:r>
    </w:p>
    <w:p w14:paraId="38DDD874" w14:textId="55B8D650" w:rsidR="0005319C" w:rsidRDefault="0005319C" w:rsidP="006A07A0">
      <w:r>
        <w:rPr>
          <w:noProof/>
        </w:rPr>
        <w:drawing>
          <wp:inline distT="0" distB="0" distL="0" distR="0" wp14:anchorId="2F02AE9A" wp14:editId="14F1273C">
            <wp:extent cx="4413477" cy="1358970"/>
            <wp:effectExtent l="0" t="0" r="6350" b="0"/>
            <wp:docPr id="1" name="Picture 1" descr="Char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13477" cy="13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5449" w14:textId="64E792C8" w:rsidR="00F72414" w:rsidRDefault="0005319C" w:rsidP="006A07A0">
      <w:r>
        <w:t>Here’s how to read the Gradebook repor</w:t>
      </w:r>
      <w:r w:rsidR="004E4A9C">
        <w:t>ts</w:t>
      </w:r>
      <w:r w:rsidR="0039775A">
        <w:t xml:space="preserve"> for these </w:t>
      </w:r>
      <w:r w:rsidR="005641F4">
        <w:t>point values</w:t>
      </w:r>
      <w:r w:rsidR="004E4A9C">
        <w:t xml:space="preserve">: </w:t>
      </w:r>
      <w:r w:rsidR="00597175">
        <w:rPr>
          <w:noProof/>
        </w:rPr>
        <w:drawing>
          <wp:inline distT="0" distB="0" distL="0" distR="0" wp14:anchorId="32D2F6AC" wp14:editId="50AA7CDB">
            <wp:extent cx="5518434" cy="3733992"/>
            <wp:effectExtent l="0" t="0" r="635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434" cy="373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E0D1C" w14:textId="6681B4EA" w:rsidR="004E4A9C" w:rsidRDefault="002E72CA" w:rsidP="006A07A0">
      <w:r>
        <w:t xml:space="preserve">[1] </w:t>
      </w:r>
      <w:r w:rsidR="00FA15A6">
        <w:t xml:space="preserve">37% of students Meet Expectations (100/100) for </w:t>
      </w:r>
      <w:r w:rsidR="00E87EA4">
        <w:t>Outcome 1.</w:t>
      </w:r>
      <w:r w:rsidR="00FA15A6">
        <w:t xml:space="preserve"> </w:t>
      </w:r>
    </w:p>
    <w:p w14:paraId="084B467F" w14:textId="77777777" w:rsidR="00C81035" w:rsidRDefault="00FA15A6">
      <w:r>
        <w:t xml:space="preserve">[2] </w:t>
      </w:r>
      <w:r w:rsidR="00EA7F90">
        <w:t>The course average for Outcome 1 is 89.23%</w:t>
      </w:r>
      <w:r w:rsidR="002461F3">
        <w:t xml:space="preserve">. </w:t>
      </w:r>
      <w:r w:rsidR="003E0E72">
        <w:t>Since</w:t>
      </w:r>
      <w:r w:rsidR="00816DE7">
        <w:t xml:space="preserve"> this average exceeds the Mastery cut-off (82/100)</w:t>
      </w:r>
      <w:r w:rsidR="00150715">
        <w:t>, the box is green</w:t>
      </w:r>
      <w:r w:rsidR="00C81035">
        <w:t xml:space="preserve"> (green = good).</w:t>
      </w:r>
    </w:p>
    <w:p w14:paraId="0CE54AA1" w14:textId="4E610C2B" w:rsidR="0039775A" w:rsidRDefault="00946040">
      <w:r>
        <w:t xml:space="preserve">To identify how many students meet </w:t>
      </w:r>
      <w:r w:rsidR="002B6A60">
        <w:t>M</w:t>
      </w:r>
      <w:r>
        <w:t>astery, the instructor would need to count the number of students whose scores</w:t>
      </w:r>
      <w:r w:rsidR="00EF4177">
        <w:t xml:space="preserve"> are 82 or higher. </w:t>
      </w:r>
    </w:p>
    <w:p w14:paraId="4AE40132" w14:textId="77777777" w:rsidR="0031628B" w:rsidRDefault="0031628B" w:rsidP="006A07A0"/>
    <w:p w14:paraId="3114FC16" w14:textId="6C6A73A9" w:rsidR="00D52903" w:rsidRDefault="00D52903" w:rsidP="006A07A0">
      <w:r>
        <w:t>If the intent is to calculate Mastery at 82%</w:t>
      </w:r>
      <w:r w:rsidR="00B02F51">
        <w:t xml:space="preserve">, and if Mastery is synonymous with Meets Expectations, the Outcomes Proficiency Ratings might instead be set thusly: </w:t>
      </w:r>
    </w:p>
    <w:p w14:paraId="34604C41" w14:textId="14EC22F0" w:rsidR="00B02F51" w:rsidRDefault="0039775A" w:rsidP="006A07A0">
      <w:r>
        <w:rPr>
          <w:noProof/>
        </w:rPr>
        <w:drawing>
          <wp:inline distT="0" distB="0" distL="0" distR="0" wp14:anchorId="42050A82" wp14:editId="7B0989D3">
            <wp:extent cx="4300845" cy="1706880"/>
            <wp:effectExtent l="0" t="0" r="5080" b="7620"/>
            <wp:docPr id="4" name="Picture 4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27320" cy="171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4B678" w14:textId="7993F30B" w:rsidR="0039775A" w:rsidRDefault="0039775A" w:rsidP="006A07A0">
      <w:r>
        <w:t xml:space="preserve">The same Gradebook would now produce the following reports: </w:t>
      </w:r>
    </w:p>
    <w:p w14:paraId="19D4E11B" w14:textId="7132F09A" w:rsidR="0039775A" w:rsidRPr="00B02F51" w:rsidRDefault="00D01C5B" w:rsidP="006A07A0">
      <w:r>
        <w:rPr>
          <w:noProof/>
        </w:rPr>
        <w:drawing>
          <wp:inline distT="0" distB="0" distL="0" distR="0" wp14:anchorId="4A453742" wp14:editId="2DA1F102">
            <wp:extent cx="4594860" cy="2967946"/>
            <wp:effectExtent l="0" t="0" r="0" b="4445"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chat or text message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310" cy="29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F2A33" w14:textId="61006321" w:rsidR="0005319C" w:rsidRDefault="00D01C5B" w:rsidP="006A07A0">
      <w:r>
        <w:t xml:space="preserve">[1] </w:t>
      </w:r>
      <w:r w:rsidR="002A5D10">
        <w:t>80% of students either Meet or Exceed Expectations (at least 82/100</w:t>
      </w:r>
      <w:r w:rsidR="008C54E7">
        <w:t xml:space="preserve">) for Outcome 1. </w:t>
      </w:r>
    </w:p>
    <w:p w14:paraId="667FF5C9" w14:textId="3D9D14C3" w:rsidR="008C54E7" w:rsidRDefault="008C54E7" w:rsidP="006A07A0">
      <w:r>
        <w:t xml:space="preserve">[2] </w:t>
      </w:r>
      <w:r w:rsidR="00BB240B">
        <w:t xml:space="preserve">The </w:t>
      </w:r>
      <w:r w:rsidR="002461F3">
        <w:t>c</w:t>
      </w:r>
      <w:r w:rsidR="00BB240B">
        <w:t xml:space="preserve">ourse </w:t>
      </w:r>
      <w:r w:rsidR="002461F3">
        <w:t>a</w:t>
      </w:r>
      <w:r w:rsidR="00BB240B">
        <w:t xml:space="preserve">verage is </w:t>
      </w:r>
      <w:r w:rsidR="002461F3">
        <w:t>89.23%.</w:t>
      </w:r>
      <w:r>
        <w:t xml:space="preserve"> </w:t>
      </w:r>
      <w:r w:rsidR="00150715">
        <w:t>Since this average exceeds the Mastery cut-off (82/100), the box is green</w:t>
      </w:r>
      <w:r w:rsidR="00C81035">
        <w:t xml:space="preserve"> (green = good).</w:t>
      </w:r>
    </w:p>
    <w:p w14:paraId="2CBB5AAE" w14:textId="107F8129" w:rsidR="00EF4177" w:rsidRDefault="00EF4177" w:rsidP="006A07A0">
      <w:r>
        <w:t xml:space="preserve">To identify how many students meet </w:t>
      </w:r>
      <w:r w:rsidR="00E27340">
        <w:t>M</w:t>
      </w:r>
      <w:r>
        <w:t xml:space="preserve">astery, the instructor could count the number of students whose scores are 82 or higher. </w:t>
      </w:r>
      <w:proofErr w:type="gramStart"/>
      <w:r>
        <w:t>OR,</w:t>
      </w:r>
      <w:proofErr w:type="gramEnd"/>
      <w:r>
        <w:t xml:space="preserve"> the instructor could multiply the total number of students in the course </w:t>
      </w:r>
      <w:r w:rsidR="00B3303F">
        <w:t>by 80%.</w:t>
      </w:r>
    </w:p>
    <w:p w14:paraId="7C09F422" w14:textId="24E7BE0E" w:rsidR="00C81035" w:rsidRDefault="00C81035">
      <w:r>
        <w:br w:type="page"/>
      </w:r>
    </w:p>
    <w:p w14:paraId="75F64267" w14:textId="7D98E90D" w:rsidR="000149D5" w:rsidRDefault="00126F0C" w:rsidP="006A07A0">
      <w:r>
        <w:lastRenderedPageBreak/>
        <w:t>Let’s say that the instructor wants to include this Outcome on a rubric, the other criteria on which use a 4-point scale. A</w:t>
      </w:r>
      <w:r w:rsidR="00E27340">
        <w:t>lso</w:t>
      </w:r>
      <w:r>
        <w:t>, the instructor would like</w:t>
      </w:r>
      <w:r w:rsidR="00DE057F">
        <w:t xml:space="preserve"> to know </w:t>
      </w:r>
      <w:r w:rsidR="000149D5">
        <w:t xml:space="preserve">how many students achieve at least 75% (3/4 or “Acceptable”) in addition to how many </w:t>
      </w:r>
      <w:r w:rsidR="00B3303F">
        <w:t>a</w:t>
      </w:r>
      <w:r w:rsidR="000149D5">
        <w:t xml:space="preserve">chieve Mastery (still set </w:t>
      </w:r>
      <w:r w:rsidR="00F25281">
        <w:t>at 82%</w:t>
      </w:r>
      <w:r w:rsidR="00E27340">
        <w:t xml:space="preserve"> or 3.28/4</w:t>
      </w:r>
      <w:r w:rsidR="00F25281">
        <w:t>).</w:t>
      </w:r>
      <w:r w:rsidR="00DE057F">
        <w:t xml:space="preserve"> </w:t>
      </w:r>
      <w:r w:rsidR="00CD6E3C">
        <w:rPr>
          <w:noProof/>
        </w:rPr>
        <w:drawing>
          <wp:inline distT="0" distB="0" distL="0" distR="0" wp14:anchorId="7AB1C628" wp14:editId="110BE4CB">
            <wp:extent cx="4476980" cy="2203563"/>
            <wp:effectExtent l="0" t="0" r="0" b="635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76980" cy="220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035">
        <w:t xml:space="preserve"> </w:t>
      </w:r>
      <w:r w:rsidR="00B476CB">
        <w:br/>
      </w:r>
      <w:r w:rsidR="000149D5">
        <w:t>In</w:t>
      </w:r>
      <w:r w:rsidR="00F25281">
        <w:t xml:space="preserve"> this case, the same Gradebook would show the following reports: </w:t>
      </w:r>
    </w:p>
    <w:p w14:paraId="08474B93" w14:textId="51F5C89F" w:rsidR="00F25281" w:rsidRDefault="00566069" w:rsidP="006A07A0">
      <w:r>
        <w:rPr>
          <w:noProof/>
        </w:rPr>
        <w:drawing>
          <wp:inline distT="0" distB="0" distL="0" distR="0" wp14:anchorId="5D1E4B2F" wp14:editId="33A52EB1">
            <wp:extent cx="4805193" cy="3733800"/>
            <wp:effectExtent l="0" t="0" r="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237" cy="374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54DA7" w14:textId="7CF343F3" w:rsidR="00566069" w:rsidRDefault="00566069" w:rsidP="006A07A0">
      <w:r>
        <w:t xml:space="preserve">[1] </w:t>
      </w:r>
      <w:r w:rsidR="007969E7">
        <w:t>86% of students achieve at least 75% on Outcome 1.</w:t>
      </w:r>
    </w:p>
    <w:p w14:paraId="7E7178E2" w14:textId="0C434083" w:rsidR="00F07E52" w:rsidRDefault="0032408B" w:rsidP="00F33A3D">
      <w:r>
        <w:t xml:space="preserve">[2] </w:t>
      </w:r>
      <w:r w:rsidR="00F33A3D">
        <w:t xml:space="preserve">The course average is </w:t>
      </w:r>
      <w:r w:rsidR="00E91723">
        <w:t xml:space="preserve">3.57/4 </w:t>
      </w:r>
      <w:r w:rsidR="00C06AE7">
        <w:t xml:space="preserve">(still </w:t>
      </w:r>
      <w:r w:rsidR="00F33A3D">
        <w:t>89.23%</w:t>
      </w:r>
      <w:r w:rsidR="00C06AE7">
        <w:t xml:space="preserve">). </w:t>
      </w:r>
    </w:p>
    <w:p w14:paraId="5E712464" w14:textId="17103A6B" w:rsidR="00E91723" w:rsidRDefault="00E91723" w:rsidP="00F33A3D">
      <w:r>
        <w:t xml:space="preserve">[3] The </w:t>
      </w:r>
      <w:r w:rsidR="002A4BB5">
        <w:t>students’ scores for Outcome 1 are now listed out of 4 points possible</w:t>
      </w:r>
      <w:r w:rsidR="00406410">
        <w:t>.</w:t>
      </w:r>
      <w:r w:rsidR="002A4BB5">
        <w:t xml:space="preserve"> </w:t>
      </w:r>
    </w:p>
    <w:p w14:paraId="7C32E996" w14:textId="73059014" w:rsidR="0032408B" w:rsidRPr="006A07A0" w:rsidRDefault="00AE2209" w:rsidP="006A07A0">
      <w:r>
        <w:t>To identify how many students meet Mastery, the instructor could count the number of students whose scores are 3.28 or higher.</w:t>
      </w:r>
    </w:p>
    <w:sectPr w:rsidR="0032408B" w:rsidRPr="006A07A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A656" w14:textId="77777777" w:rsidR="007914DA" w:rsidRDefault="007914DA" w:rsidP="00D266E9">
      <w:pPr>
        <w:spacing w:after="0" w:line="240" w:lineRule="auto"/>
      </w:pPr>
      <w:r>
        <w:separator/>
      </w:r>
    </w:p>
  </w:endnote>
  <w:endnote w:type="continuationSeparator" w:id="0">
    <w:p w14:paraId="49312C1A" w14:textId="77777777" w:rsidR="007914DA" w:rsidRDefault="007914DA" w:rsidP="00D2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F96C" w14:textId="77777777" w:rsidR="00D266E9" w:rsidRDefault="00D26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2B33" w14:textId="77777777" w:rsidR="00D266E9" w:rsidRDefault="00D266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78C3" w14:textId="77777777" w:rsidR="00D266E9" w:rsidRDefault="00D26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DCE3" w14:textId="77777777" w:rsidR="007914DA" w:rsidRDefault="007914DA" w:rsidP="00D266E9">
      <w:pPr>
        <w:spacing w:after="0" w:line="240" w:lineRule="auto"/>
      </w:pPr>
      <w:r>
        <w:separator/>
      </w:r>
    </w:p>
  </w:footnote>
  <w:footnote w:type="continuationSeparator" w:id="0">
    <w:p w14:paraId="01AFF271" w14:textId="77777777" w:rsidR="007914DA" w:rsidRDefault="007914DA" w:rsidP="00D2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27B1" w14:textId="77777777" w:rsidR="00D266E9" w:rsidRDefault="00D26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311442"/>
      <w:docPartObj>
        <w:docPartGallery w:val="Watermarks"/>
        <w:docPartUnique/>
      </w:docPartObj>
    </w:sdtPr>
    <w:sdtEndPr/>
    <w:sdtContent>
      <w:p w14:paraId="711EC64D" w14:textId="3F19AE45" w:rsidR="00D266E9" w:rsidRDefault="009C7F59">
        <w:pPr>
          <w:pStyle w:val="Header"/>
        </w:pPr>
        <w:r>
          <w:rPr>
            <w:noProof/>
          </w:rPr>
          <w:pict w14:anchorId="3E5B8C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F471" w14:textId="77777777" w:rsidR="00D266E9" w:rsidRDefault="00D26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6BA"/>
    <w:multiLevelType w:val="hybridMultilevel"/>
    <w:tmpl w:val="EAAE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3D1E"/>
    <w:multiLevelType w:val="hybridMultilevel"/>
    <w:tmpl w:val="1E94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5C32"/>
    <w:multiLevelType w:val="hybridMultilevel"/>
    <w:tmpl w:val="ED76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85DBA"/>
    <w:multiLevelType w:val="hybridMultilevel"/>
    <w:tmpl w:val="780E36CA"/>
    <w:lvl w:ilvl="0" w:tplc="7FE29C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620F36"/>
    <w:multiLevelType w:val="hybridMultilevel"/>
    <w:tmpl w:val="EC90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902283">
    <w:abstractNumId w:val="4"/>
  </w:num>
  <w:num w:numId="2" w16cid:durableId="1624849041">
    <w:abstractNumId w:val="1"/>
  </w:num>
  <w:num w:numId="3" w16cid:durableId="2001152829">
    <w:abstractNumId w:val="2"/>
  </w:num>
  <w:num w:numId="4" w16cid:durableId="1758280964">
    <w:abstractNumId w:val="0"/>
  </w:num>
  <w:num w:numId="5" w16cid:durableId="2031832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B8"/>
    <w:rsid w:val="000074DA"/>
    <w:rsid w:val="000139CE"/>
    <w:rsid w:val="000149D5"/>
    <w:rsid w:val="000211AF"/>
    <w:rsid w:val="000418A6"/>
    <w:rsid w:val="0005319C"/>
    <w:rsid w:val="00064F1F"/>
    <w:rsid w:val="000703CF"/>
    <w:rsid w:val="0007359B"/>
    <w:rsid w:val="00082546"/>
    <w:rsid w:val="0008366F"/>
    <w:rsid w:val="000B6F02"/>
    <w:rsid w:val="000C647C"/>
    <w:rsid w:val="000D6E3F"/>
    <w:rsid w:val="000E263B"/>
    <w:rsid w:val="000F77DE"/>
    <w:rsid w:val="001244D9"/>
    <w:rsid w:val="00126F0C"/>
    <w:rsid w:val="00140705"/>
    <w:rsid w:val="001458E5"/>
    <w:rsid w:val="00150715"/>
    <w:rsid w:val="001A4ADB"/>
    <w:rsid w:val="001D2CBD"/>
    <w:rsid w:val="001E07B2"/>
    <w:rsid w:val="001F06B7"/>
    <w:rsid w:val="001F3BD1"/>
    <w:rsid w:val="00210C71"/>
    <w:rsid w:val="00227E9F"/>
    <w:rsid w:val="002461F3"/>
    <w:rsid w:val="002A0D83"/>
    <w:rsid w:val="002A4BB5"/>
    <w:rsid w:val="002A5D10"/>
    <w:rsid w:val="002B3BA2"/>
    <w:rsid w:val="002B6A60"/>
    <w:rsid w:val="002C2457"/>
    <w:rsid w:val="002C28B5"/>
    <w:rsid w:val="002E56E2"/>
    <w:rsid w:val="002E72CA"/>
    <w:rsid w:val="002E792D"/>
    <w:rsid w:val="0031628B"/>
    <w:rsid w:val="00322B4C"/>
    <w:rsid w:val="0032408B"/>
    <w:rsid w:val="00334E11"/>
    <w:rsid w:val="00360B1E"/>
    <w:rsid w:val="00371922"/>
    <w:rsid w:val="00373737"/>
    <w:rsid w:val="003738EA"/>
    <w:rsid w:val="003859C5"/>
    <w:rsid w:val="0039775A"/>
    <w:rsid w:val="003A60FC"/>
    <w:rsid w:val="003B665B"/>
    <w:rsid w:val="003E0E72"/>
    <w:rsid w:val="003E1B00"/>
    <w:rsid w:val="003E1BD2"/>
    <w:rsid w:val="003F03AA"/>
    <w:rsid w:val="003F6A40"/>
    <w:rsid w:val="004015A3"/>
    <w:rsid w:val="00406410"/>
    <w:rsid w:val="00413657"/>
    <w:rsid w:val="0043584B"/>
    <w:rsid w:val="00482569"/>
    <w:rsid w:val="004A755C"/>
    <w:rsid w:val="004B041C"/>
    <w:rsid w:val="004E4A9C"/>
    <w:rsid w:val="0050254A"/>
    <w:rsid w:val="00522787"/>
    <w:rsid w:val="005641F4"/>
    <w:rsid w:val="00566069"/>
    <w:rsid w:val="00581798"/>
    <w:rsid w:val="005929EA"/>
    <w:rsid w:val="00597175"/>
    <w:rsid w:val="005A55E6"/>
    <w:rsid w:val="005A71DF"/>
    <w:rsid w:val="005E278A"/>
    <w:rsid w:val="005E5953"/>
    <w:rsid w:val="005F2A4E"/>
    <w:rsid w:val="005F42A5"/>
    <w:rsid w:val="005F76C7"/>
    <w:rsid w:val="00605C2F"/>
    <w:rsid w:val="00616B84"/>
    <w:rsid w:val="00630B78"/>
    <w:rsid w:val="00645EA9"/>
    <w:rsid w:val="006461C5"/>
    <w:rsid w:val="006639F6"/>
    <w:rsid w:val="00664EAD"/>
    <w:rsid w:val="006671F4"/>
    <w:rsid w:val="0067349B"/>
    <w:rsid w:val="00691AB8"/>
    <w:rsid w:val="006979F7"/>
    <w:rsid w:val="006A07A0"/>
    <w:rsid w:val="006A43FD"/>
    <w:rsid w:val="006F2383"/>
    <w:rsid w:val="00700473"/>
    <w:rsid w:val="0072436A"/>
    <w:rsid w:val="00740466"/>
    <w:rsid w:val="007455A0"/>
    <w:rsid w:val="00747410"/>
    <w:rsid w:val="00760F4B"/>
    <w:rsid w:val="007914DA"/>
    <w:rsid w:val="007969E7"/>
    <w:rsid w:val="00797012"/>
    <w:rsid w:val="007A5A80"/>
    <w:rsid w:val="007B64DB"/>
    <w:rsid w:val="00802FF2"/>
    <w:rsid w:val="00816DE7"/>
    <w:rsid w:val="0082042B"/>
    <w:rsid w:val="00827038"/>
    <w:rsid w:val="00876471"/>
    <w:rsid w:val="008776D8"/>
    <w:rsid w:val="008C182D"/>
    <w:rsid w:val="008C42A7"/>
    <w:rsid w:val="008C54E7"/>
    <w:rsid w:val="008D044A"/>
    <w:rsid w:val="008F02B7"/>
    <w:rsid w:val="009117EA"/>
    <w:rsid w:val="00932633"/>
    <w:rsid w:val="00933F2C"/>
    <w:rsid w:val="009372BA"/>
    <w:rsid w:val="00946040"/>
    <w:rsid w:val="00952B1C"/>
    <w:rsid w:val="00983573"/>
    <w:rsid w:val="00986BD7"/>
    <w:rsid w:val="009A1ACA"/>
    <w:rsid w:val="009B14C8"/>
    <w:rsid w:val="009B625C"/>
    <w:rsid w:val="009C7F59"/>
    <w:rsid w:val="009D1F86"/>
    <w:rsid w:val="009E2265"/>
    <w:rsid w:val="00A12B43"/>
    <w:rsid w:val="00A3109D"/>
    <w:rsid w:val="00A356A9"/>
    <w:rsid w:val="00A408E6"/>
    <w:rsid w:val="00A4713A"/>
    <w:rsid w:val="00A61AF1"/>
    <w:rsid w:val="00A91F80"/>
    <w:rsid w:val="00AA24EF"/>
    <w:rsid w:val="00AA4651"/>
    <w:rsid w:val="00AB1A50"/>
    <w:rsid w:val="00AB4B65"/>
    <w:rsid w:val="00AC3710"/>
    <w:rsid w:val="00AE2209"/>
    <w:rsid w:val="00AE453C"/>
    <w:rsid w:val="00AE487F"/>
    <w:rsid w:val="00B02F51"/>
    <w:rsid w:val="00B3303F"/>
    <w:rsid w:val="00B4549C"/>
    <w:rsid w:val="00B476CB"/>
    <w:rsid w:val="00B52074"/>
    <w:rsid w:val="00B57E2F"/>
    <w:rsid w:val="00B600AA"/>
    <w:rsid w:val="00B71A44"/>
    <w:rsid w:val="00B77727"/>
    <w:rsid w:val="00B80AC6"/>
    <w:rsid w:val="00B91EB9"/>
    <w:rsid w:val="00B939AA"/>
    <w:rsid w:val="00B97958"/>
    <w:rsid w:val="00BA2019"/>
    <w:rsid w:val="00BA7F2B"/>
    <w:rsid w:val="00BB240B"/>
    <w:rsid w:val="00BC1690"/>
    <w:rsid w:val="00BC6949"/>
    <w:rsid w:val="00BD0C0A"/>
    <w:rsid w:val="00BE6CD0"/>
    <w:rsid w:val="00C06AE7"/>
    <w:rsid w:val="00C10C00"/>
    <w:rsid w:val="00C247AA"/>
    <w:rsid w:val="00C428FE"/>
    <w:rsid w:val="00C45626"/>
    <w:rsid w:val="00C5434A"/>
    <w:rsid w:val="00C55097"/>
    <w:rsid w:val="00C610B0"/>
    <w:rsid w:val="00C73B2C"/>
    <w:rsid w:val="00C81035"/>
    <w:rsid w:val="00CA6246"/>
    <w:rsid w:val="00CD6E3C"/>
    <w:rsid w:val="00CE0249"/>
    <w:rsid w:val="00D01C5B"/>
    <w:rsid w:val="00D12CA8"/>
    <w:rsid w:val="00D266E9"/>
    <w:rsid w:val="00D324A1"/>
    <w:rsid w:val="00D32F6E"/>
    <w:rsid w:val="00D40576"/>
    <w:rsid w:val="00D43F39"/>
    <w:rsid w:val="00D52903"/>
    <w:rsid w:val="00D60BBE"/>
    <w:rsid w:val="00D6419F"/>
    <w:rsid w:val="00D81F5F"/>
    <w:rsid w:val="00D91AE8"/>
    <w:rsid w:val="00D97EFB"/>
    <w:rsid w:val="00DC0C63"/>
    <w:rsid w:val="00DC377B"/>
    <w:rsid w:val="00DD13D6"/>
    <w:rsid w:val="00DD6AEA"/>
    <w:rsid w:val="00DE057F"/>
    <w:rsid w:val="00DF21ED"/>
    <w:rsid w:val="00DF5A43"/>
    <w:rsid w:val="00E0312A"/>
    <w:rsid w:val="00E27340"/>
    <w:rsid w:val="00E31854"/>
    <w:rsid w:val="00E4537E"/>
    <w:rsid w:val="00E46839"/>
    <w:rsid w:val="00E47346"/>
    <w:rsid w:val="00E53202"/>
    <w:rsid w:val="00E53F04"/>
    <w:rsid w:val="00E61AB1"/>
    <w:rsid w:val="00E66A0A"/>
    <w:rsid w:val="00E87EA4"/>
    <w:rsid w:val="00E91723"/>
    <w:rsid w:val="00EA4EF4"/>
    <w:rsid w:val="00EA78A9"/>
    <w:rsid w:val="00EA7F90"/>
    <w:rsid w:val="00EB10D7"/>
    <w:rsid w:val="00ED0F03"/>
    <w:rsid w:val="00EF4177"/>
    <w:rsid w:val="00EF4DF4"/>
    <w:rsid w:val="00F0464D"/>
    <w:rsid w:val="00F07E52"/>
    <w:rsid w:val="00F21524"/>
    <w:rsid w:val="00F25281"/>
    <w:rsid w:val="00F33A3D"/>
    <w:rsid w:val="00F35B82"/>
    <w:rsid w:val="00F5737B"/>
    <w:rsid w:val="00F713AA"/>
    <w:rsid w:val="00F72414"/>
    <w:rsid w:val="00F840F7"/>
    <w:rsid w:val="00F87E5D"/>
    <w:rsid w:val="00F92728"/>
    <w:rsid w:val="00F93682"/>
    <w:rsid w:val="00F94738"/>
    <w:rsid w:val="00FA15A6"/>
    <w:rsid w:val="00FB0641"/>
    <w:rsid w:val="00FB5C87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4C4B9"/>
  <w15:chartTrackingRefBased/>
  <w15:docId w15:val="{BFCEE9D6-E065-4BB5-823B-49FEAB31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A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6E9"/>
  </w:style>
  <w:style w:type="paragraph" w:styleId="Footer">
    <w:name w:val="footer"/>
    <w:basedOn w:val="Normal"/>
    <w:link w:val="FooterChar"/>
    <w:uiPriority w:val="99"/>
    <w:unhideWhenUsed/>
    <w:rsid w:val="00D2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6E9"/>
  </w:style>
  <w:style w:type="character" w:styleId="FollowedHyperlink">
    <w:name w:val="FollowedHyperlink"/>
    <w:basedOn w:val="DefaultParagraphFont"/>
    <w:uiPriority w:val="99"/>
    <w:semiHidden/>
    <w:unhideWhenUsed/>
    <w:rsid w:val="00CE0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mmunity.canvaslms.com/t5/Instructor-Guide/How-do-I-align-an-outcome-with-a-rubric-in-a-course/ta-p/1130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yperlink" Target="https://community.canvaslms.com/t5/Instructor-Guide/How-do-I-align-an-outcome-to-a-quiz-question-in-New-Quizzes/ta-p/778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unity.canvaslms.com/t5/Instructor-Guide/How-do-I-migrate-a-Canvas-quiz-to-New-Quizzes/ta-p/991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header" Target="header3.xml"/><Relationship Id="rId10" Type="http://schemas.openxmlformats.org/officeDocument/2006/relationships/hyperlink" Target="https://community.canvaslms.com/t5/Instructor-Guide/How-do-I-create-an-outcome-for-a-course/ta-p/862" TargetMode="Externa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mmunity.canvaslms.com/t5/Instructor-Guide/How-do-I-use-the-Learning-Mastery-Gradebook-to-view-outcome/ta-p/775" TargetMode="External"/><Relationship Id="rId22" Type="http://schemas.openxmlformats.org/officeDocument/2006/relationships/image" Target="media/image8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39AB7E016DE448BB817C34BD3DAD9" ma:contentTypeVersion="20" ma:contentTypeDescription="Create a new document." ma:contentTypeScope="" ma:versionID="cdd19a1e92f3455183e54196e3c79e5e">
  <xsd:schema xmlns:xsd="http://www.w3.org/2001/XMLSchema" xmlns:xs="http://www.w3.org/2001/XMLSchema" xmlns:p="http://schemas.microsoft.com/office/2006/metadata/properties" xmlns:ns1="http://schemas.microsoft.com/sharepoint/v3" xmlns:ns2="2abda155-e8d9-49b2-9932-ce779b3b5371" xmlns:ns3="0abdb7e2-8d76-4deb-80fb-73e56f77473b" targetNamespace="http://schemas.microsoft.com/office/2006/metadata/properties" ma:root="true" ma:fieldsID="38695eca7934856192143e1031c19802" ns1:_="" ns2:_="" ns3:_="">
    <xsd:import namespace="http://schemas.microsoft.com/sharepoint/v3"/>
    <xsd:import namespace="2abda155-e8d9-49b2-9932-ce779b3b5371"/>
    <xsd:import namespace="0abdb7e2-8d76-4deb-80fb-73e56f774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da155-e8d9-49b2-9932-ce779b3b5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e04e713-3df4-4e86-9d7d-2f323303a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db7e2-8d76-4deb-80fb-73e56f77473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95ffbb-0aca-404a-9947-652f6fd6809a}" ma:internalName="TaxCatchAll" ma:showField="CatchAllData" ma:web="0abdb7e2-8d76-4deb-80fb-73e56f7747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abdb7e2-8d76-4deb-80fb-73e56f77473b" xsi:nil="true"/>
    <lcf76f155ced4ddcb4097134ff3c332f xmlns="2abda155-e8d9-49b2-9932-ce779b3b53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E49E82-E42C-4AB7-9CCD-E980032B7A0F}"/>
</file>

<file path=customXml/itemProps2.xml><?xml version="1.0" encoding="utf-8"?>
<ds:datastoreItem xmlns:ds="http://schemas.openxmlformats.org/officeDocument/2006/customXml" ds:itemID="{F5FE3A25-2BB7-465B-B698-495718358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6877B-ABB1-4F43-8865-759E8BBD7F8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701693-98f5-4e0b-83c3-5fcb790318e8"/>
    <ds:schemaRef ds:uri="http://schemas.microsoft.com/sharepoint/v3"/>
    <ds:schemaRef ds:uri="be7d7958-994c-4e90-b667-6f42f72daae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7</Pages>
  <Words>1138</Words>
  <Characters>6491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Hanan</dc:creator>
  <cp:keywords/>
  <dc:description/>
  <cp:lastModifiedBy>Rachelle Barrett</cp:lastModifiedBy>
  <cp:revision>2</cp:revision>
  <dcterms:created xsi:type="dcterms:W3CDTF">2022-11-21T22:38:00Z</dcterms:created>
  <dcterms:modified xsi:type="dcterms:W3CDTF">2022-11-21T22:38:00Z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0x0101000A139AB7E016DE448BB817C34BD3DAD9</vt:lpwstr>
  </property>
</Properties>
</file>